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22EA11" w14:textId="77777777" w:rsidR="00433CB6" w:rsidRDefault="00433CB6" w:rsidP="00433CB6">
      <w:pPr>
        <w:jc w:val="center"/>
        <w:rPr>
          <w:rFonts w:ascii="BlairMdITC TT-Medium" w:hAnsi="BlairMdITC TT-Medium"/>
          <w:sz w:val="28"/>
          <w:szCs w:val="28"/>
        </w:rPr>
      </w:pPr>
      <w:bookmarkStart w:id="0" w:name="_GoBack"/>
      <w:bookmarkEnd w:id="0"/>
      <w:r w:rsidRPr="00433CB6">
        <w:rPr>
          <w:rFonts w:ascii="BlairMdITC TT-Medium" w:hAnsi="BlairMdITC TT-Medium"/>
          <w:sz w:val="28"/>
          <w:szCs w:val="28"/>
        </w:rPr>
        <w:t xml:space="preserve">Deepening Comprehension through </w:t>
      </w:r>
    </w:p>
    <w:p w14:paraId="32A372A6" w14:textId="49EB1676" w:rsidR="00EC20C3" w:rsidRPr="00433CB6" w:rsidRDefault="00536DA9" w:rsidP="00433CB6">
      <w:pPr>
        <w:jc w:val="center"/>
        <w:rPr>
          <w:rFonts w:ascii="BlairMdITC TT-Medium" w:hAnsi="BlairMdITC TT-Medium"/>
          <w:sz w:val="28"/>
          <w:szCs w:val="28"/>
        </w:rPr>
      </w:pPr>
      <w:r w:rsidRPr="00433CB6">
        <w:rPr>
          <w:rFonts w:ascii="BlairMdITC TT-Medium" w:hAnsi="BlairMdITC TT-Medium"/>
          <w:sz w:val="28"/>
          <w:szCs w:val="28"/>
        </w:rPr>
        <w:t>Second</w:t>
      </w:r>
      <w:r w:rsidR="00433CB6" w:rsidRPr="00433CB6">
        <w:rPr>
          <w:rFonts w:ascii="BlairMdITC TT-Medium" w:hAnsi="BlairMdITC TT-Medium"/>
          <w:sz w:val="28"/>
          <w:szCs w:val="28"/>
        </w:rPr>
        <w:t>-draft reading</w:t>
      </w:r>
    </w:p>
    <w:p w14:paraId="77B9A675" w14:textId="77777777" w:rsidR="00433CB6" w:rsidRDefault="00433CB6" w:rsidP="00D975C3">
      <w:pPr>
        <w:jc w:val="right"/>
        <w:rPr>
          <w:rFonts w:ascii="BlairMdITC TT-Medium" w:hAnsi="BlairMdITC TT-Medium"/>
          <w:sz w:val="36"/>
          <w:szCs w:val="36"/>
        </w:rPr>
      </w:pPr>
    </w:p>
    <w:p w14:paraId="43720CC4" w14:textId="77777777" w:rsidR="00D975C3" w:rsidRDefault="00D975C3" w:rsidP="00D975C3">
      <w:pPr>
        <w:jc w:val="right"/>
        <w:rPr>
          <w:rFonts w:ascii="BlairMdITC TT-Medium" w:hAnsi="BlairMdITC TT-Medium"/>
          <w:sz w:val="36"/>
          <w:szCs w:val="36"/>
        </w:rPr>
      </w:pPr>
      <w:r>
        <w:rPr>
          <w:rFonts w:ascii="BlairMdITC TT-Medium" w:hAnsi="BlairMdITC TT-Medium"/>
          <w:sz w:val="36"/>
          <w:szCs w:val="36"/>
        </w:rPr>
        <w:t>RESPONSIBILITY PIE CHARTS</w:t>
      </w:r>
    </w:p>
    <w:p w14:paraId="09609977" w14:textId="77777777" w:rsidR="00261A0E" w:rsidRDefault="00261A0E" w:rsidP="00D975C3">
      <w:pPr>
        <w:jc w:val="right"/>
        <w:rPr>
          <w:rFonts w:ascii="Avenir Book" w:hAnsi="Avenir Book"/>
          <w:sz w:val="22"/>
          <w:szCs w:val="22"/>
        </w:rPr>
      </w:pPr>
    </w:p>
    <w:p w14:paraId="59EC3109" w14:textId="2819BFEF" w:rsidR="00261A0E" w:rsidRDefault="009A7166" w:rsidP="00261A0E">
      <w:pPr>
        <w:rPr>
          <w:rFonts w:ascii="Avenir Book" w:hAnsi="Avenir Book"/>
          <w:sz w:val="22"/>
          <w:szCs w:val="22"/>
        </w:rPr>
      </w:pPr>
      <w:r>
        <w:rPr>
          <w:rFonts w:ascii="Avenir Book" w:hAnsi="Avenir Book"/>
          <w:sz w:val="22"/>
          <w:szCs w:val="22"/>
        </w:rPr>
        <w:t xml:space="preserve">Another way to help prompt deeper thinking is to ask students to consider which characters or people are most responsible for the book’s outcome. </w:t>
      </w:r>
    </w:p>
    <w:p w14:paraId="5522190F" w14:textId="77777777" w:rsidR="00261A0E" w:rsidRDefault="00261A0E" w:rsidP="00261A0E">
      <w:pPr>
        <w:rPr>
          <w:rFonts w:ascii="Avenir Book" w:hAnsi="Avenir Book"/>
          <w:sz w:val="22"/>
          <w:szCs w:val="22"/>
        </w:rPr>
      </w:pPr>
    </w:p>
    <w:p w14:paraId="182838C8" w14:textId="77777777" w:rsidR="00261A0E" w:rsidRDefault="00261A0E" w:rsidP="00261A0E">
      <w:pPr>
        <w:rPr>
          <w:rFonts w:ascii="Avenir Book" w:hAnsi="Avenir Book"/>
          <w:sz w:val="22"/>
          <w:szCs w:val="22"/>
        </w:rPr>
      </w:pPr>
    </w:p>
    <w:p w14:paraId="5A170C73" w14:textId="21792C82" w:rsidR="00261A0E" w:rsidRDefault="009A7166" w:rsidP="00261A0E">
      <w:pPr>
        <w:rPr>
          <w:rFonts w:ascii="Avenir Book" w:hAnsi="Avenir Book"/>
          <w:sz w:val="22"/>
          <w:szCs w:val="22"/>
        </w:rPr>
      </w:pPr>
      <w:r>
        <w:rPr>
          <w:rFonts w:ascii="Avenir Book" w:hAnsi="Avenir Book"/>
          <w:noProof/>
          <w:sz w:val="22"/>
          <w:szCs w:val="22"/>
        </w:rPr>
        <w:drawing>
          <wp:anchor distT="0" distB="0" distL="114300" distR="114300" simplePos="0" relativeHeight="251660288" behindDoc="0" locked="0" layoutInCell="1" allowOverlap="1" wp14:anchorId="4E66115B" wp14:editId="37EDA615">
            <wp:simplePos x="0" y="0"/>
            <wp:positionH relativeFrom="column">
              <wp:posOffset>-1085850</wp:posOffset>
            </wp:positionH>
            <wp:positionV relativeFrom="paragraph">
              <wp:posOffset>611505</wp:posOffset>
            </wp:positionV>
            <wp:extent cx="5943600" cy="4457700"/>
            <wp:effectExtent l="6350" t="0" r="6350" b="6350"/>
            <wp:wrapThrough wrapText="bothSides">
              <wp:wrapPolygon edited="0">
                <wp:start x="23" y="21631"/>
                <wp:lineTo x="21531" y="21631"/>
                <wp:lineTo x="21531" y="92"/>
                <wp:lineTo x="23" y="92"/>
                <wp:lineTo x="23" y="21631"/>
              </wp:wrapPolygon>
            </wp:wrapThrough>
            <wp:docPr id="3" name="Picture 3" descr="Macintosh HD:Users:teacher:Desktop:IMG_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teacher:Desktop:IMG_481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venir Book" w:hAnsi="Avenir Book"/>
          <w:sz w:val="22"/>
          <w:szCs w:val="22"/>
        </w:rPr>
        <w:t>At the end of the unit on Night, a nonfictional account of the Holocaust</w:t>
      </w:r>
      <w:r w:rsidR="00FC429C">
        <w:rPr>
          <w:rFonts w:ascii="Avenir Book" w:hAnsi="Avenir Book"/>
          <w:sz w:val="22"/>
          <w:szCs w:val="22"/>
        </w:rPr>
        <w:t>, students</w:t>
      </w:r>
      <w:r>
        <w:rPr>
          <w:rFonts w:ascii="Avenir Book" w:hAnsi="Avenir Book"/>
          <w:sz w:val="22"/>
          <w:szCs w:val="22"/>
        </w:rPr>
        <w:t xml:space="preserve"> brainstormed the various people and groups who played a role in the genocide of World War II. </w:t>
      </w:r>
    </w:p>
    <w:p w14:paraId="41456FAB" w14:textId="77777777" w:rsidR="00261A0E" w:rsidRDefault="00261A0E" w:rsidP="00261A0E">
      <w:pPr>
        <w:rPr>
          <w:rFonts w:ascii="Avenir Book" w:hAnsi="Avenir Book"/>
          <w:sz w:val="22"/>
          <w:szCs w:val="22"/>
        </w:rPr>
      </w:pPr>
    </w:p>
    <w:p w14:paraId="1FD9CF6F" w14:textId="7EB4CDD8" w:rsidR="00261A0E" w:rsidRDefault="009A7166" w:rsidP="00261A0E">
      <w:pPr>
        <w:rPr>
          <w:rFonts w:ascii="Avenir Book" w:hAnsi="Avenir Book"/>
          <w:sz w:val="22"/>
          <w:szCs w:val="22"/>
        </w:rPr>
      </w:pPr>
      <w:r>
        <w:rPr>
          <w:rFonts w:ascii="Avenir Book" w:hAnsi="Avenir Book"/>
          <w:sz w:val="22"/>
          <w:szCs w:val="22"/>
        </w:rPr>
        <w:t xml:space="preserve">While it’s easy to blame Hitler, students need to realize that he needed a lot of help to murder millions of people. </w:t>
      </w:r>
      <w:r w:rsidR="00FC429C">
        <w:rPr>
          <w:rFonts w:ascii="Avenir Book" w:hAnsi="Avenir Book"/>
          <w:sz w:val="22"/>
          <w:szCs w:val="22"/>
        </w:rPr>
        <w:t xml:space="preserve"> As a class, brainstorm all the people and groups who played a role in the Holocaust. </w:t>
      </w:r>
    </w:p>
    <w:p w14:paraId="01F7A6C6" w14:textId="776D9C92" w:rsidR="00261A0E" w:rsidRDefault="00261A0E" w:rsidP="00261A0E">
      <w:pPr>
        <w:rPr>
          <w:rFonts w:ascii="Avenir Book" w:hAnsi="Avenir Book"/>
          <w:sz w:val="22"/>
          <w:szCs w:val="22"/>
        </w:rPr>
      </w:pPr>
    </w:p>
    <w:p w14:paraId="0126C31A" w14:textId="4ACCF773" w:rsidR="00261A0E" w:rsidRDefault="00FC429C" w:rsidP="00261A0E">
      <w:pPr>
        <w:rPr>
          <w:rFonts w:ascii="Avenir Book" w:hAnsi="Avenir Book"/>
          <w:sz w:val="22"/>
          <w:szCs w:val="22"/>
        </w:rPr>
      </w:pPr>
      <w:r>
        <w:rPr>
          <w:rFonts w:ascii="Avenir Book" w:hAnsi="Avenir Book"/>
          <w:sz w:val="22"/>
          <w:szCs w:val="22"/>
        </w:rPr>
        <w:t xml:space="preserve">Responsibility pie charts can work with any book that carries a strong ending: Who shared responsibility for the deaths of Romeo &amp; Juliet? </w:t>
      </w:r>
      <w:proofErr w:type="gramStart"/>
      <w:r>
        <w:rPr>
          <w:rFonts w:ascii="Avenir Book" w:hAnsi="Avenir Book"/>
          <w:sz w:val="22"/>
          <w:szCs w:val="22"/>
        </w:rPr>
        <w:t>For the fall of Hamlet?</w:t>
      </w:r>
      <w:proofErr w:type="gramEnd"/>
      <w:r>
        <w:rPr>
          <w:rFonts w:ascii="Avenir Book" w:hAnsi="Avenir Book"/>
          <w:sz w:val="22"/>
          <w:szCs w:val="22"/>
        </w:rPr>
        <w:t xml:space="preserve"> </w:t>
      </w:r>
      <w:proofErr w:type="gramStart"/>
      <w:r>
        <w:rPr>
          <w:rFonts w:ascii="Avenir Book" w:hAnsi="Avenir Book"/>
          <w:sz w:val="22"/>
          <w:szCs w:val="22"/>
        </w:rPr>
        <w:t>For the demise of Piggy?</w:t>
      </w:r>
      <w:proofErr w:type="gramEnd"/>
      <w:r>
        <w:rPr>
          <w:rFonts w:ascii="Avenir Book" w:hAnsi="Avenir Book"/>
          <w:sz w:val="22"/>
          <w:szCs w:val="22"/>
        </w:rPr>
        <w:t xml:space="preserve"> Who was most to blame? Who was indirectly responsible? Having st</w:t>
      </w:r>
      <w:r w:rsidR="00433CB6">
        <w:rPr>
          <w:rFonts w:ascii="Avenir Book" w:hAnsi="Avenir Book"/>
          <w:sz w:val="22"/>
          <w:szCs w:val="22"/>
        </w:rPr>
        <w:t>udents consider these questions</w:t>
      </w:r>
      <w:r>
        <w:rPr>
          <w:rFonts w:ascii="Avenir Book" w:hAnsi="Avenir Book"/>
          <w:sz w:val="22"/>
          <w:szCs w:val="22"/>
        </w:rPr>
        <w:t xml:space="preserve"> prompts them to revisit the text and to consider the consequences of the actions  (or inaction) of others. </w:t>
      </w:r>
    </w:p>
    <w:p w14:paraId="44FB7EA1" w14:textId="77777777" w:rsidR="00433CB6" w:rsidRDefault="00433CB6" w:rsidP="00261A0E">
      <w:pPr>
        <w:rPr>
          <w:rFonts w:ascii="Avenir Book" w:hAnsi="Avenir Book"/>
          <w:sz w:val="22"/>
          <w:szCs w:val="22"/>
        </w:rPr>
      </w:pPr>
    </w:p>
    <w:p w14:paraId="343DC3BB" w14:textId="4B5ADC13" w:rsidR="00433CB6" w:rsidRPr="00261A0E" w:rsidRDefault="00433CB6" w:rsidP="00261A0E">
      <w:pPr>
        <w:rPr>
          <w:rFonts w:ascii="Avenir Book" w:hAnsi="Avenir Book"/>
          <w:sz w:val="22"/>
          <w:szCs w:val="22"/>
        </w:rPr>
      </w:pPr>
      <w:r>
        <w:rPr>
          <w:rFonts w:ascii="Avenir Book" w:hAnsi="Avenir Book"/>
          <w:sz w:val="22"/>
          <w:szCs w:val="22"/>
        </w:rPr>
        <w:t xml:space="preserve">These activities demonstrate to students the value of revisiting text. Deeper meaning emerges when difficult text is reread, and these strategies, through repeated modeling, help to break students from their “I read it one time and I don’t get it” mentality. </w:t>
      </w:r>
    </w:p>
    <w:sectPr w:rsidR="00433CB6" w:rsidRPr="00261A0E" w:rsidSect="00EC20C3">
      <w:footerReference w:type="even" r:id="rId9"/>
      <w:footerReference w:type="default" r:id="rId10"/>
      <w:pgSz w:w="12240" w:h="15840"/>
      <w:pgMar w:top="630" w:right="1440" w:bottom="5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94D79D" w14:textId="77777777" w:rsidR="009A7166" w:rsidRDefault="009A7166" w:rsidP="000A7A7C">
      <w:r>
        <w:separator/>
      </w:r>
    </w:p>
  </w:endnote>
  <w:endnote w:type="continuationSeparator" w:id="0">
    <w:p w14:paraId="26E3545C" w14:textId="77777777" w:rsidR="009A7166" w:rsidRDefault="009A7166" w:rsidP="000A7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BlairMdITC TT-Medium">
    <w:panose1 w:val="00000500000000000000"/>
    <w:charset w:val="00"/>
    <w:family w:val="auto"/>
    <w:pitch w:val="variable"/>
    <w:sig w:usb0="00000003" w:usb1="00000000" w:usb2="00000000" w:usb3="00000000" w:csb0="00000001" w:csb1="00000000"/>
  </w:font>
  <w:font w:name="Avenir Book">
    <w:panose1 w:val="02000503020000020003"/>
    <w:charset w:val="00"/>
    <w:family w:val="auto"/>
    <w:pitch w:val="variable"/>
    <w:sig w:usb0="800000AF" w:usb1="5000204A" w:usb2="00000000" w:usb3="00000000" w:csb0="0000009B"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5000" w:type="pct"/>
      <w:tblLook w:val="04A0" w:firstRow="1" w:lastRow="0" w:firstColumn="1" w:lastColumn="0" w:noHBand="0" w:noVBand="1"/>
    </w:tblPr>
    <w:tblGrid>
      <w:gridCol w:w="4162"/>
      <w:gridCol w:w="1252"/>
      <w:gridCol w:w="4162"/>
    </w:tblGrid>
    <w:tr w:rsidR="009A7166" w14:paraId="28395561" w14:textId="77777777" w:rsidTr="000A7A7C">
      <w:trPr>
        <w:trHeight w:val="151"/>
      </w:trPr>
      <w:tc>
        <w:tcPr>
          <w:tcW w:w="2250" w:type="pct"/>
          <w:tcBorders>
            <w:top w:val="nil"/>
            <w:left w:val="nil"/>
            <w:bottom w:val="single" w:sz="4" w:space="0" w:color="4F81BD" w:themeColor="accent1"/>
            <w:right w:val="nil"/>
          </w:tcBorders>
        </w:tcPr>
        <w:p w14:paraId="6726332D" w14:textId="77777777" w:rsidR="009A7166" w:rsidRDefault="009A7166" w:rsidP="000A7A7C">
          <w:pPr>
            <w:pStyle w:val="Header"/>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14:paraId="3F864194" w14:textId="77777777" w:rsidR="009A7166" w:rsidRDefault="00A5593A" w:rsidP="000A7A7C">
          <w:pPr>
            <w:pStyle w:val="NoSpacing"/>
            <w:spacing w:line="276" w:lineRule="auto"/>
            <w:rPr>
              <w:rFonts w:asciiTheme="majorHAnsi" w:hAnsiTheme="majorHAnsi"/>
              <w:color w:val="365F91" w:themeColor="accent1" w:themeShade="BF"/>
            </w:rPr>
          </w:pPr>
          <w:sdt>
            <w:sdtPr>
              <w:rPr>
                <w:rFonts w:ascii="Cambria" w:hAnsi="Cambria"/>
                <w:color w:val="365F91" w:themeColor="accent1" w:themeShade="BF"/>
              </w:rPr>
              <w:id w:val="179835412"/>
              <w:placeholder>
                <w:docPart w:val="A6D91FE2D83CBB4B827A3D2F8A068CC6"/>
              </w:placeholder>
              <w:temporary/>
              <w:showingPlcHdr/>
            </w:sdtPr>
            <w:sdtEndPr/>
            <w:sdtContent>
              <w:r w:rsidR="009A7166">
                <w:rPr>
                  <w:rFonts w:ascii="Cambria" w:hAnsi="Cambria"/>
                  <w:color w:val="365F91" w:themeColor="accent1" w:themeShade="BF"/>
                </w:rPr>
                <w:t>[Type text]</w:t>
              </w:r>
            </w:sdtContent>
          </w:sdt>
        </w:p>
      </w:tc>
      <w:tc>
        <w:tcPr>
          <w:tcW w:w="2250" w:type="pct"/>
          <w:tcBorders>
            <w:top w:val="nil"/>
            <w:left w:val="nil"/>
            <w:bottom w:val="single" w:sz="4" w:space="0" w:color="4F81BD" w:themeColor="accent1"/>
            <w:right w:val="nil"/>
          </w:tcBorders>
        </w:tcPr>
        <w:p w14:paraId="1C8EAAC0" w14:textId="77777777" w:rsidR="009A7166" w:rsidRDefault="009A7166" w:rsidP="000A7A7C">
          <w:pPr>
            <w:pStyle w:val="Header"/>
            <w:spacing w:line="276" w:lineRule="auto"/>
            <w:rPr>
              <w:rFonts w:asciiTheme="majorHAnsi" w:eastAsiaTheme="majorEastAsia" w:hAnsiTheme="majorHAnsi" w:cstheme="majorBidi"/>
              <w:b/>
              <w:bCs/>
              <w:color w:val="4F81BD" w:themeColor="accent1"/>
            </w:rPr>
          </w:pPr>
        </w:p>
      </w:tc>
    </w:tr>
    <w:tr w:rsidR="009A7166" w14:paraId="7B679AD3" w14:textId="77777777" w:rsidTr="000A7A7C">
      <w:trPr>
        <w:trHeight w:val="150"/>
      </w:trPr>
      <w:tc>
        <w:tcPr>
          <w:tcW w:w="2250" w:type="pct"/>
          <w:tcBorders>
            <w:top w:val="single" w:sz="4" w:space="0" w:color="4F81BD" w:themeColor="accent1"/>
            <w:left w:val="nil"/>
            <w:bottom w:val="nil"/>
            <w:right w:val="nil"/>
          </w:tcBorders>
        </w:tcPr>
        <w:p w14:paraId="3A8D249C" w14:textId="77777777" w:rsidR="009A7166" w:rsidRDefault="009A7166" w:rsidP="000A7A7C">
          <w:pPr>
            <w:pStyle w:val="Header"/>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53C23B41" w14:textId="77777777" w:rsidR="009A7166" w:rsidRDefault="009A7166" w:rsidP="000A7A7C">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5D680A7F" w14:textId="77777777" w:rsidR="009A7166" w:rsidRDefault="009A7166" w:rsidP="000A7A7C">
          <w:pPr>
            <w:pStyle w:val="Header"/>
            <w:spacing w:line="276" w:lineRule="auto"/>
            <w:rPr>
              <w:rFonts w:asciiTheme="majorHAnsi" w:eastAsiaTheme="majorEastAsia" w:hAnsiTheme="majorHAnsi" w:cstheme="majorBidi"/>
              <w:b/>
              <w:bCs/>
              <w:color w:val="4F81BD" w:themeColor="accent1"/>
            </w:rPr>
          </w:pPr>
        </w:p>
      </w:tc>
    </w:tr>
  </w:tbl>
  <w:p w14:paraId="6B18F251" w14:textId="77777777" w:rsidR="009A7166" w:rsidRDefault="009A7166">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5000" w:type="pct"/>
      <w:tblLook w:val="04A0" w:firstRow="1" w:lastRow="0" w:firstColumn="1" w:lastColumn="0" w:noHBand="0" w:noVBand="1"/>
    </w:tblPr>
    <w:tblGrid>
      <w:gridCol w:w="979"/>
      <w:gridCol w:w="7618"/>
      <w:gridCol w:w="979"/>
    </w:tblGrid>
    <w:tr w:rsidR="009A7166" w14:paraId="61031D63" w14:textId="77777777" w:rsidTr="000A7A7C">
      <w:trPr>
        <w:trHeight w:val="151"/>
      </w:trPr>
      <w:tc>
        <w:tcPr>
          <w:tcW w:w="2250" w:type="pct"/>
          <w:tcBorders>
            <w:top w:val="nil"/>
            <w:left w:val="nil"/>
            <w:bottom w:val="single" w:sz="4" w:space="0" w:color="4F81BD" w:themeColor="accent1"/>
            <w:right w:val="nil"/>
          </w:tcBorders>
        </w:tcPr>
        <w:p w14:paraId="41EC0A8A" w14:textId="77777777" w:rsidR="009A7166" w:rsidRDefault="009A7166" w:rsidP="000A7A7C">
          <w:pPr>
            <w:pStyle w:val="Header"/>
            <w:spacing w:line="276" w:lineRule="auto"/>
            <w:rPr>
              <w:rFonts w:asciiTheme="majorHAnsi" w:eastAsiaTheme="majorEastAsia" w:hAnsiTheme="majorHAnsi" w:cstheme="majorBidi"/>
              <w:b/>
              <w:bCs/>
              <w:color w:val="4F81BD" w:themeColor="accent1"/>
            </w:rPr>
          </w:pPr>
        </w:p>
      </w:tc>
      <w:tc>
        <w:tcPr>
          <w:tcW w:w="500" w:type="pct"/>
          <w:vMerge w:val="restart"/>
          <w:noWrap/>
          <w:vAlign w:val="center"/>
          <w:hideMark/>
        </w:tcPr>
        <w:p w14:paraId="72E33A26" w14:textId="4AE880A2" w:rsidR="009A7166" w:rsidRPr="000A7A7C" w:rsidRDefault="009A7166" w:rsidP="000A7A7C">
          <w:pPr>
            <w:pStyle w:val="Footer"/>
            <w:rPr>
              <w:rFonts w:ascii="Avenir Book" w:hAnsi="Avenir Book"/>
              <w:sz w:val="20"/>
              <w:szCs w:val="20"/>
            </w:rPr>
          </w:pPr>
          <w:r>
            <w:t xml:space="preserve"> </w:t>
          </w:r>
          <w:r w:rsidRPr="000A7A7C">
            <w:rPr>
              <w:rFonts w:ascii="Avenir Book" w:hAnsi="Avenir Book"/>
              <w:sz w:val="20"/>
              <w:szCs w:val="20"/>
            </w:rPr>
            <w:t>Gallagher, Kelly. 2004. Deeper Reading; Comprehending Challenging Texts 4 -12.</w:t>
          </w:r>
        </w:p>
        <w:p w14:paraId="123AB972" w14:textId="77777777" w:rsidR="009A7166" w:rsidRPr="000A7A7C" w:rsidRDefault="009A7166" w:rsidP="000A7A7C">
          <w:pPr>
            <w:pStyle w:val="Footer"/>
            <w:rPr>
              <w:rFonts w:ascii="Avenir Book" w:hAnsi="Avenir Book"/>
              <w:sz w:val="20"/>
              <w:szCs w:val="20"/>
            </w:rPr>
          </w:pPr>
          <w:r w:rsidRPr="000A7A7C">
            <w:rPr>
              <w:rFonts w:ascii="Avenir Book" w:hAnsi="Avenir Book"/>
              <w:sz w:val="20"/>
              <w:szCs w:val="20"/>
            </w:rPr>
            <w:t xml:space="preserve">                  Portland, Maine. </w:t>
          </w:r>
          <w:proofErr w:type="spellStart"/>
          <w:r w:rsidRPr="000A7A7C">
            <w:rPr>
              <w:rFonts w:ascii="Avenir Book" w:hAnsi="Avenir Book"/>
              <w:sz w:val="20"/>
              <w:szCs w:val="20"/>
            </w:rPr>
            <w:t>Stenhouse</w:t>
          </w:r>
          <w:proofErr w:type="spellEnd"/>
          <w:r w:rsidRPr="000A7A7C">
            <w:rPr>
              <w:rFonts w:ascii="Avenir Book" w:hAnsi="Avenir Book"/>
              <w:sz w:val="20"/>
              <w:szCs w:val="20"/>
            </w:rPr>
            <w:t xml:space="preserve"> Publishers.</w:t>
          </w:r>
        </w:p>
        <w:p w14:paraId="175D210F" w14:textId="64FCA23A" w:rsidR="009A7166" w:rsidRDefault="009A7166" w:rsidP="000A7A7C">
          <w:pPr>
            <w:pStyle w:val="NoSpacing"/>
            <w:spacing w:line="276" w:lineRule="auto"/>
            <w:rPr>
              <w:rFonts w:asciiTheme="majorHAnsi" w:hAnsiTheme="majorHAnsi"/>
              <w:color w:val="365F91" w:themeColor="accent1" w:themeShade="BF"/>
            </w:rPr>
          </w:pPr>
        </w:p>
      </w:tc>
      <w:tc>
        <w:tcPr>
          <w:tcW w:w="2250" w:type="pct"/>
          <w:tcBorders>
            <w:top w:val="nil"/>
            <w:left w:val="nil"/>
            <w:bottom w:val="single" w:sz="4" w:space="0" w:color="4F81BD" w:themeColor="accent1"/>
            <w:right w:val="nil"/>
          </w:tcBorders>
        </w:tcPr>
        <w:p w14:paraId="6AC9F684" w14:textId="77777777" w:rsidR="009A7166" w:rsidRDefault="009A7166" w:rsidP="000A7A7C">
          <w:pPr>
            <w:pStyle w:val="Header"/>
            <w:spacing w:line="276" w:lineRule="auto"/>
            <w:rPr>
              <w:rFonts w:asciiTheme="majorHAnsi" w:eastAsiaTheme="majorEastAsia" w:hAnsiTheme="majorHAnsi" w:cstheme="majorBidi"/>
              <w:b/>
              <w:bCs/>
              <w:color w:val="4F81BD" w:themeColor="accent1"/>
            </w:rPr>
          </w:pPr>
        </w:p>
      </w:tc>
    </w:tr>
    <w:tr w:rsidR="009A7166" w14:paraId="3056BF97" w14:textId="77777777" w:rsidTr="000A7A7C">
      <w:trPr>
        <w:trHeight w:val="150"/>
      </w:trPr>
      <w:tc>
        <w:tcPr>
          <w:tcW w:w="2250" w:type="pct"/>
          <w:tcBorders>
            <w:top w:val="single" w:sz="4" w:space="0" w:color="4F81BD" w:themeColor="accent1"/>
            <w:left w:val="nil"/>
            <w:bottom w:val="nil"/>
            <w:right w:val="nil"/>
          </w:tcBorders>
        </w:tcPr>
        <w:p w14:paraId="4F8B4D7C" w14:textId="77777777" w:rsidR="009A7166" w:rsidRDefault="009A7166" w:rsidP="000A7A7C">
          <w:pPr>
            <w:pStyle w:val="Header"/>
            <w:spacing w:line="276" w:lineRule="auto"/>
            <w:rPr>
              <w:rFonts w:asciiTheme="majorHAnsi" w:eastAsiaTheme="majorEastAsia" w:hAnsiTheme="majorHAnsi" w:cstheme="majorBidi"/>
              <w:b/>
              <w:bCs/>
              <w:color w:val="4F81BD" w:themeColor="accent1"/>
            </w:rPr>
          </w:pPr>
        </w:p>
      </w:tc>
      <w:tc>
        <w:tcPr>
          <w:tcW w:w="0" w:type="auto"/>
          <w:vMerge/>
          <w:vAlign w:val="center"/>
          <w:hideMark/>
        </w:tcPr>
        <w:p w14:paraId="2E2864D1" w14:textId="77777777" w:rsidR="009A7166" w:rsidRDefault="009A7166" w:rsidP="000A7A7C">
          <w:pPr>
            <w:rPr>
              <w:rFonts w:asciiTheme="majorHAnsi" w:hAnsiTheme="majorHAnsi"/>
              <w:color w:val="365F91" w:themeColor="accent1" w:themeShade="BF"/>
              <w:sz w:val="22"/>
              <w:szCs w:val="22"/>
            </w:rPr>
          </w:pPr>
        </w:p>
      </w:tc>
      <w:tc>
        <w:tcPr>
          <w:tcW w:w="2250" w:type="pct"/>
          <w:tcBorders>
            <w:top w:val="single" w:sz="4" w:space="0" w:color="4F81BD" w:themeColor="accent1"/>
            <w:left w:val="nil"/>
            <w:bottom w:val="nil"/>
            <w:right w:val="nil"/>
          </w:tcBorders>
        </w:tcPr>
        <w:p w14:paraId="5EB06670" w14:textId="77777777" w:rsidR="009A7166" w:rsidRDefault="009A7166" w:rsidP="000A7A7C">
          <w:pPr>
            <w:pStyle w:val="Header"/>
            <w:spacing w:line="276" w:lineRule="auto"/>
            <w:rPr>
              <w:rFonts w:asciiTheme="majorHAnsi" w:eastAsiaTheme="majorEastAsia" w:hAnsiTheme="majorHAnsi" w:cstheme="majorBidi"/>
              <w:b/>
              <w:bCs/>
              <w:color w:val="4F81BD" w:themeColor="accent1"/>
            </w:rPr>
          </w:pPr>
        </w:p>
      </w:tc>
    </w:tr>
  </w:tbl>
  <w:p w14:paraId="3B20A909" w14:textId="77777777" w:rsidR="009A7166" w:rsidRDefault="009A716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10FE5F" w14:textId="77777777" w:rsidR="009A7166" w:rsidRDefault="009A7166" w:rsidP="000A7A7C">
      <w:r>
        <w:separator/>
      </w:r>
    </w:p>
  </w:footnote>
  <w:footnote w:type="continuationSeparator" w:id="0">
    <w:p w14:paraId="4D695F17" w14:textId="77777777" w:rsidR="009A7166" w:rsidRDefault="009A7166" w:rsidP="000A7A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72FA"/>
    <w:rsid w:val="000A7A7C"/>
    <w:rsid w:val="001B0B35"/>
    <w:rsid w:val="00261A0E"/>
    <w:rsid w:val="002A1A49"/>
    <w:rsid w:val="00433CB6"/>
    <w:rsid w:val="00536DA9"/>
    <w:rsid w:val="008172FA"/>
    <w:rsid w:val="009A7166"/>
    <w:rsid w:val="00A5593A"/>
    <w:rsid w:val="00AC0FA2"/>
    <w:rsid w:val="00C57C4C"/>
    <w:rsid w:val="00C92152"/>
    <w:rsid w:val="00D07DF2"/>
    <w:rsid w:val="00D975C3"/>
    <w:rsid w:val="00EC20C3"/>
    <w:rsid w:val="00FC429C"/>
    <w:rsid w:val="00FC4A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4CEFFC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72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72FA"/>
    <w:rPr>
      <w:rFonts w:ascii="Lucida Grande" w:hAnsi="Lucida Grande" w:cs="Lucida Grande"/>
      <w:sz w:val="18"/>
      <w:szCs w:val="18"/>
    </w:rPr>
  </w:style>
  <w:style w:type="paragraph" w:styleId="Header">
    <w:name w:val="header"/>
    <w:basedOn w:val="Normal"/>
    <w:link w:val="HeaderChar"/>
    <w:uiPriority w:val="99"/>
    <w:unhideWhenUsed/>
    <w:rsid w:val="000A7A7C"/>
    <w:pPr>
      <w:tabs>
        <w:tab w:val="center" w:pos="4320"/>
        <w:tab w:val="right" w:pos="8640"/>
      </w:tabs>
    </w:pPr>
  </w:style>
  <w:style w:type="character" w:customStyle="1" w:styleId="HeaderChar">
    <w:name w:val="Header Char"/>
    <w:basedOn w:val="DefaultParagraphFont"/>
    <w:link w:val="Header"/>
    <w:uiPriority w:val="99"/>
    <w:rsid w:val="000A7A7C"/>
  </w:style>
  <w:style w:type="paragraph" w:styleId="Footer">
    <w:name w:val="footer"/>
    <w:basedOn w:val="Normal"/>
    <w:link w:val="FooterChar"/>
    <w:unhideWhenUsed/>
    <w:rsid w:val="000A7A7C"/>
    <w:pPr>
      <w:tabs>
        <w:tab w:val="center" w:pos="4320"/>
        <w:tab w:val="right" w:pos="8640"/>
      </w:tabs>
    </w:pPr>
  </w:style>
  <w:style w:type="character" w:customStyle="1" w:styleId="FooterChar">
    <w:name w:val="Footer Char"/>
    <w:basedOn w:val="DefaultParagraphFont"/>
    <w:link w:val="Footer"/>
    <w:rsid w:val="000A7A7C"/>
  </w:style>
  <w:style w:type="paragraph" w:styleId="NoSpacing">
    <w:name w:val="No Spacing"/>
    <w:link w:val="NoSpacingChar"/>
    <w:qFormat/>
    <w:rsid w:val="000A7A7C"/>
    <w:rPr>
      <w:rFonts w:ascii="PMingLiU" w:hAnsi="PMingLiU"/>
      <w:sz w:val="22"/>
      <w:szCs w:val="22"/>
    </w:rPr>
  </w:style>
  <w:style w:type="character" w:customStyle="1" w:styleId="NoSpacingChar">
    <w:name w:val="No Spacing Char"/>
    <w:basedOn w:val="DefaultParagraphFont"/>
    <w:link w:val="NoSpacing"/>
    <w:rsid w:val="000A7A7C"/>
    <w:rPr>
      <w:rFonts w:ascii="PMingLiU" w:hAnsi="PMingLiU"/>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72F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72FA"/>
    <w:rPr>
      <w:rFonts w:ascii="Lucida Grande" w:hAnsi="Lucida Grande" w:cs="Lucida Grande"/>
      <w:sz w:val="18"/>
      <w:szCs w:val="18"/>
    </w:rPr>
  </w:style>
  <w:style w:type="paragraph" w:styleId="Header">
    <w:name w:val="header"/>
    <w:basedOn w:val="Normal"/>
    <w:link w:val="HeaderChar"/>
    <w:uiPriority w:val="99"/>
    <w:unhideWhenUsed/>
    <w:rsid w:val="000A7A7C"/>
    <w:pPr>
      <w:tabs>
        <w:tab w:val="center" w:pos="4320"/>
        <w:tab w:val="right" w:pos="8640"/>
      </w:tabs>
    </w:pPr>
  </w:style>
  <w:style w:type="character" w:customStyle="1" w:styleId="HeaderChar">
    <w:name w:val="Header Char"/>
    <w:basedOn w:val="DefaultParagraphFont"/>
    <w:link w:val="Header"/>
    <w:uiPriority w:val="99"/>
    <w:rsid w:val="000A7A7C"/>
  </w:style>
  <w:style w:type="paragraph" w:styleId="Footer">
    <w:name w:val="footer"/>
    <w:basedOn w:val="Normal"/>
    <w:link w:val="FooterChar"/>
    <w:unhideWhenUsed/>
    <w:rsid w:val="000A7A7C"/>
    <w:pPr>
      <w:tabs>
        <w:tab w:val="center" w:pos="4320"/>
        <w:tab w:val="right" w:pos="8640"/>
      </w:tabs>
    </w:pPr>
  </w:style>
  <w:style w:type="character" w:customStyle="1" w:styleId="FooterChar">
    <w:name w:val="Footer Char"/>
    <w:basedOn w:val="DefaultParagraphFont"/>
    <w:link w:val="Footer"/>
    <w:rsid w:val="000A7A7C"/>
  </w:style>
  <w:style w:type="paragraph" w:styleId="NoSpacing">
    <w:name w:val="No Spacing"/>
    <w:link w:val="NoSpacingChar"/>
    <w:qFormat/>
    <w:rsid w:val="000A7A7C"/>
    <w:rPr>
      <w:rFonts w:ascii="PMingLiU" w:hAnsi="PMingLiU"/>
      <w:sz w:val="22"/>
      <w:szCs w:val="22"/>
    </w:rPr>
  </w:style>
  <w:style w:type="character" w:customStyle="1" w:styleId="NoSpacingChar">
    <w:name w:val="No Spacing Char"/>
    <w:basedOn w:val="DefaultParagraphFont"/>
    <w:link w:val="NoSpacing"/>
    <w:rsid w:val="000A7A7C"/>
    <w:rPr>
      <w:rFonts w:ascii="PMingLiU" w:hAnsi="PMingLiU"/>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glossaryDocument" Target="glossary/document.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footer" Target="footer1.xml"/><Relationship Id="rId10"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6D91FE2D83CBB4B827A3D2F8A068CC6"/>
        <w:category>
          <w:name w:val="General"/>
          <w:gallery w:val="placeholder"/>
        </w:category>
        <w:types>
          <w:type w:val="bbPlcHdr"/>
        </w:types>
        <w:behaviors>
          <w:behavior w:val="content"/>
        </w:behaviors>
        <w:guid w:val="{76FCC0FF-F7C0-464F-87A6-9FDE9515A183}"/>
      </w:docPartPr>
      <w:docPartBody>
        <w:p w14:paraId="142AC21F" w14:textId="33A6C2BA" w:rsidR="00321B58" w:rsidRDefault="00321B58" w:rsidP="00321B58">
          <w:pPr>
            <w:pStyle w:val="A6D91FE2D83CBB4B827A3D2F8A068CC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BlairMdITC TT-Medium">
    <w:panose1 w:val="00000500000000000000"/>
    <w:charset w:val="00"/>
    <w:family w:val="auto"/>
    <w:pitch w:val="variable"/>
    <w:sig w:usb0="00000003" w:usb1="00000000" w:usb2="00000000" w:usb3="00000000" w:csb0="00000001" w:csb1="00000000"/>
  </w:font>
  <w:font w:name="Avenir Book">
    <w:panose1 w:val="02000503020000020003"/>
    <w:charset w:val="00"/>
    <w:family w:val="auto"/>
    <w:pitch w:val="variable"/>
    <w:sig w:usb0="800000AF" w:usb1="5000204A" w:usb2="00000000" w:usb3="00000000" w:csb0="0000009B"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B58"/>
    <w:rsid w:val="00321B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6D91FE2D83CBB4B827A3D2F8A068CC6">
    <w:name w:val="A6D91FE2D83CBB4B827A3D2F8A068CC6"/>
    <w:rsid w:val="00321B58"/>
  </w:style>
  <w:style w:type="paragraph" w:customStyle="1" w:styleId="00CD737CD7351E4C83CE1B6FAC2F136B">
    <w:name w:val="00CD737CD7351E4C83CE1B6FAC2F136B"/>
    <w:rsid w:val="00321B58"/>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6D91FE2D83CBB4B827A3D2F8A068CC6">
    <w:name w:val="A6D91FE2D83CBB4B827A3D2F8A068CC6"/>
    <w:rsid w:val="00321B58"/>
  </w:style>
  <w:style w:type="paragraph" w:customStyle="1" w:styleId="00CD737CD7351E4C83CE1B6FAC2F136B">
    <w:name w:val="00CD737CD7351E4C83CE1B6FAC2F136B"/>
    <w:rsid w:val="00321B5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10C71B-2FC6-6E4B-9C83-6284C30AA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189</Words>
  <Characters>1080</Characters>
  <Application>Microsoft Macintosh Word</Application>
  <DocSecurity>0</DocSecurity>
  <Lines>9</Lines>
  <Paragraphs>2</Paragraphs>
  <ScaleCrop>false</ScaleCrop>
  <Company/>
  <LinksUpToDate>false</LinksUpToDate>
  <CharactersWithSpaces>1267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3</cp:revision>
  <cp:lastPrinted>2017-03-15T19:37:00Z</cp:lastPrinted>
  <dcterms:created xsi:type="dcterms:W3CDTF">2017-11-20T20:40:00Z</dcterms:created>
  <dcterms:modified xsi:type="dcterms:W3CDTF">2017-11-20T20:41:00Z</dcterms:modified>
</cp:coreProperties>
</file>